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F3" w:rsidRPr="00E35BF3" w:rsidRDefault="00E35BF3" w:rsidP="00E35BF3">
      <w:pPr>
        <w:spacing w:after="375" w:line="450" w:lineRule="atLeast"/>
        <w:ind w:left="450" w:right="450"/>
        <w:outlineLvl w:val="0"/>
        <w:rPr>
          <w:rFonts w:ascii="Arial Narrow" w:eastAsia="Times New Roman" w:hAnsi="Arial Narrow" w:cs="Times New Roman"/>
          <w:color w:val="333333"/>
          <w:kern w:val="36"/>
          <w:sz w:val="36"/>
          <w:szCs w:val="36"/>
          <w:lang w:eastAsia="ru-RU"/>
        </w:rPr>
      </w:pPr>
      <w:r w:rsidRPr="00E35BF3">
        <w:rPr>
          <w:rFonts w:ascii="Arial Narrow" w:eastAsia="Times New Roman" w:hAnsi="Arial Narrow" w:cs="Times New Roman"/>
          <w:color w:val="333333"/>
          <w:kern w:val="36"/>
          <w:sz w:val="36"/>
          <w:szCs w:val="36"/>
          <w:lang w:eastAsia="ru-RU"/>
        </w:rPr>
        <w:t>Сводный рейтинг состояния инвестиционного климата муниципальных районов и городских округов Забайкальского края</w:t>
      </w:r>
    </w:p>
    <w:p w:rsidR="00E35BF3" w:rsidRPr="00E35BF3" w:rsidRDefault="00E35BF3" w:rsidP="00E35BF3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Сводный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рейтинг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состояния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инвестиционного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климата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муниципальных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районов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и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городских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округов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Забайкальского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края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за</w:t>
      </w:r>
      <w:r w:rsidRPr="00E35BF3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 xml:space="preserve"> 2024 </w:t>
      </w:r>
      <w:r w:rsidRPr="00E35BF3">
        <w:rPr>
          <w:rFonts w:ascii="Cambria" w:eastAsia="Times New Roman" w:hAnsi="Cambria" w:cs="Cambria"/>
          <w:color w:val="666666"/>
          <w:sz w:val="27"/>
          <w:szCs w:val="27"/>
          <w:lang w:eastAsia="ru-RU"/>
        </w:rPr>
        <w:t>год</w:t>
      </w: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6443"/>
        <w:gridCol w:w="1322"/>
      </w:tblGrid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  <w:t>№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п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/</w:t>
            </w: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Наименование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МР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 xml:space="preserve"> (</w:t>
            </w: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ГО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7"/>
                <w:szCs w:val="27"/>
                <w:lang w:eastAsia="ru-RU"/>
              </w:rPr>
              <w:t>Рейтинг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Забайкальский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41,12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Приаргунский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41,00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Городской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Поселок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Агинское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39,71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Хилокский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36,80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Городской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Город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Чита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36,43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ЗАТО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Горный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34,40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Шилкинский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31,72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Улётовский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32,35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Кыринский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35,77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Могочинский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31,57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Тунгиро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-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Олекминский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32,92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Борзинский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31,84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29,84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Чернышевский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28,75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Ононский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31,81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Каларский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27,98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Нерчинский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29,29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Нерчинско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-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Заводский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30,27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Акшинский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27,28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Читинский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27,86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Сретенский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31,82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Тунгокоченский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27,76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Оловяннинский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31,51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Газимуро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-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Заводский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31,62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Агинский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29,62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Балейский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29,46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Могойтуйский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24,05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Дульдургинский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24,56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Красночикойский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27,16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Александрово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-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Заводский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25,28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Петровск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-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Забайкальский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23,82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Карымский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23,63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Калганский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24,81</w:t>
            </w:r>
          </w:p>
        </w:tc>
      </w:tr>
      <w:tr w:rsidR="00E35BF3" w:rsidRPr="00E35BF3" w:rsidTr="00E35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Шелопугинский</w:t>
            </w:r>
            <w:proofErr w:type="spellEnd"/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муниципальный</w:t>
            </w:r>
            <w:r w:rsidRPr="00E35BF3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E35BF3">
              <w:rPr>
                <w:rFonts w:ascii="Cambria" w:eastAsia="Times New Roman" w:hAnsi="Cambria" w:cs="Cambria"/>
                <w:color w:val="666666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BF3" w:rsidRPr="00E35BF3" w:rsidRDefault="00E35BF3" w:rsidP="00E35BF3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E35BF3">
              <w:rPr>
                <w:rFonts w:ascii="Arial Regular" w:eastAsia="Times New Roman" w:hAnsi="Arial Regular" w:cs="Times New Roman"/>
                <w:color w:val="666666"/>
                <w:sz w:val="27"/>
                <w:szCs w:val="27"/>
                <w:lang w:eastAsia="ru-RU"/>
              </w:rPr>
              <w:t>20,03</w:t>
            </w:r>
          </w:p>
        </w:tc>
      </w:tr>
    </w:tbl>
    <w:p w:rsidR="00BD002E" w:rsidRDefault="00BD002E">
      <w:bookmarkStart w:id="0" w:name="_GoBack"/>
      <w:bookmarkEnd w:id="0"/>
    </w:p>
    <w:sectPr w:rsidR="00BD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Regular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3"/>
    <w:rsid w:val="00BD002E"/>
    <w:rsid w:val="00E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19E22-D494-44D1-8716-39F6882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2025-12-02T04:42:00Z</dcterms:created>
  <dcterms:modified xsi:type="dcterms:W3CDTF">2025-12-02T04:43:00Z</dcterms:modified>
</cp:coreProperties>
</file>